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A" w:rsidRDefault="002D63FD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AA" w:rsidRPr="007D14CB" w:rsidRDefault="005E33A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E33AA" w:rsidRPr="007D14CB" w:rsidRDefault="005E33AA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5E33AA" w:rsidRPr="007D14CB" w:rsidRDefault="002D63FD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-311785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3AA"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C4068B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4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.Б.07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Физическая культура и спорт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33AA" w:rsidRPr="00F358CA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9950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 п</w:t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7440" w:rsidRPr="007D14CB" w:rsidRDefault="00AB7440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1185B" w:rsidRPr="0061185B" w:rsidRDefault="005E33AA" w:rsidP="007F08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F08E9" w:rsidRPr="004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37.03.01 Психол</w:t>
      </w:r>
      <w:r w:rsidR="009950DC">
        <w:rPr>
          <w:rFonts w:ascii="Times New Roman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61185B" w:rsidRPr="0061185B" w:rsidRDefault="0061185B" w:rsidP="006118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85B" w:rsidRPr="0061185B" w:rsidRDefault="0061185B" w:rsidP="0061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1185B" w:rsidRPr="0061185B" w:rsidRDefault="002D63FD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021705" cy="474980"/>
            <wp:effectExtent l="19050" t="0" r="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2D63FD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66040</wp:posOffset>
            </wp:positionV>
            <wp:extent cx="1522730" cy="563245"/>
            <wp:effectExtent l="19050" t="0" r="1270" b="0"/>
            <wp:wrapNone/>
            <wp:docPr id="7" name="Рисунок 7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1185B" w:rsidRPr="0061185B" w:rsidRDefault="002D63FD" w:rsidP="006118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1028700" cy="698500"/>
            <wp:effectExtent l="19050" t="0" r="0" b="0"/>
            <wp:wrapNone/>
            <wp:docPr id="8" name="Рисунок 8" descr="шел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елест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5E33AA" w:rsidRPr="007D14CB" w:rsidRDefault="005E33AA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7E7551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 w:rsidRPr="000C2F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использовать методы и средства физической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полноценной 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деятельности.</w:t>
      </w: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A3963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знаний об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метод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физического самосовершенствования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умений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подбирать и применять методы и средства физической культуры </w:t>
      </w:r>
      <w:r w:rsidR="00327E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 совершенствова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ния основных физических качеств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</w:t>
      </w:r>
      <w:r w:rsidRPr="001A396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</w:t>
      </w:r>
      <w:proofErr w:type="gramStart"/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навыков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реализации программы совершенствования физических качес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тв</w:t>
      </w:r>
      <w:proofErr w:type="gramEnd"/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7D14CB" w:rsidRDefault="005E33A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33AA" w:rsidRPr="007D14CB" w:rsidRDefault="005E33AA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5E33AA" w:rsidRPr="007D14CB" w:rsidRDefault="005E33AA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E33AA" w:rsidRPr="007D14CB" w:rsidRDefault="005E33AA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5E33AA" w:rsidRPr="00B932D4" w:rsidRDefault="00281313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</w:t>
      </w:r>
      <w:r w:rsidRPr="00281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знания,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5E33AA"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культура» в общеобразовательной организации.</w:t>
      </w:r>
    </w:p>
    <w:p w:rsidR="005E33AA" w:rsidRPr="001D42A7" w:rsidRDefault="005E33AA" w:rsidP="001D42A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1313" w:rsidRPr="00281313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313" w:rsidRPr="00281313" w:rsidRDefault="00281313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7D14CB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33AA" w:rsidRPr="007D14CB" w:rsidRDefault="005E33AA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5E33AA" w:rsidRPr="00592B32" w:rsidTr="00327E99">
        <w:tc>
          <w:tcPr>
            <w:tcW w:w="648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E33AA" w:rsidRPr="00592B32" w:rsidTr="00327E99">
        <w:tc>
          <w:tcPr>
            <w:tcW w:w="648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E33AA" w:rsidRPr="00592B32" w:rsidTr="00327E99">
        <w:tc>
          <w:tcPr>
            <w:tcW w:w="648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физической культуры в развитии общества и человека; роль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</w:t>
            </w:r>
          </w:p>
        </w:tc>
        <w:tc>
          <w:tcPr>
            <w:tcW w:w="1783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своим физическим здоровьем, самостоятельно заниматься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видами спорта, современными двигательными и оздоровительными системами</w:t>
            </w:r>
          </w:p>
        </w:tc>
        <w:tc>
          <w:tcPr>
            <w:tcW w:w="1841" w:type="dxa"/>
            <w:vAlign w:val="center"/>
          </w:tcPr>
          <w:p w:rsidR="005E33AA" w:rsidRPr="007D14CB" w:rsidRDefault="000B686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разработки комплексов упражнений, направленных на укрепление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навыками ведения здорового образа жизни</w:t>
            </w:r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</w:tbl>
    <w:p w:rsidR="005E33AA" w:rsidRPr="007D14CB" w:rsidRDefault="005E33AA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33578"/>
      <w:bookmarkStart w:id="2" w:name="_Toc385491864"/>
    </w:p>
    <w:p w:rsidR="005E33AA" w:rsidRPr="007D14CB" w:rsidRDefault="005E33AA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5E33AA" w:rsidRPr="007D14CB" w:rsidRDefault="005E33AA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5E33AA" w:rsidRPr="007D14CB" w:rsidRDefault="005E33AA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5E33AA" w:rsidRPr="007D14CB" w:rsidRDefault="005E33AA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281313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28131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1D42A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E33AA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B686A" w:rsidRPr="007D14CB" w:rsidRDefault="000B686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5E33AA" w:rsidRPr="007D14CB" w:rsidRDefault="005E33AA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E33AA" w:rsidRPr="007D14CB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503"/>
        <w:gridCol w:w="1485"/>
        <w:gridCol w:w="497"/>
        <w:gridCol w:w="578"/>
        <w:gridCol w:w="608"/>
        <w:gridCol w:w="1354"/>
        <w:gridCol w:w="1367"/>
        <w:gridCol w:w="1283"/>
      </w:tblGrid>
      <w:tr w:rsidR="00281313" w:rsidRPr="00592B32" w:rsidTr="00281313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4F2EBE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27E99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81313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1.Роль физкультуры и спорта в развитии общества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2.Социальные функции физкультуры и спорта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3.Физкультура как средство сохранения и укрепления здоровья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5E33AA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скоростно-силовых способностей. Формы их проявления. Оценка. Основные требования.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1.Понятие «здоровье» и его критерии.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2.Условия окружающей среды.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3.Система знаний о здоровье.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Критерии и способы оценки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Гибкость и методика ее развития. Виды гибкости и факторы, 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1.Методика оценки работоспособности.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2.Гимнастика для глаз.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3.Основа методики самомассажа.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Коррекция развития отдельных систем организма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занятий физической культурой и спортом в зависимости от индивидуальных особенностей организма.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проведения занятия по аэробике, шейпингу.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Классический, восстановительный и спортивный массажи.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основных движений и методика их обучения в избранном виде физкультурно-спортивной деятельности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1.Оценка коррекции телосложения.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2.Развитие физических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коррекции строения тела человека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Профессионально-прикладная физическая культура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различного профиля.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женщин.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Шейпинг в укреплении здоровья и в формировании гармоничного телосложения.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 </w:t>
      </w:r>
      <w:proofErr w:type="gramEnd"/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Факторы образа жизни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Отношение к здоровью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Дыхательная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и К. Бутейко.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Атлетическая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В.Дикуля</w:t>
      </w:r>
      <w:proofErr w:type="spellEnd"/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лиц разного возраста.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Варианты комплексов физических упражнений для повышения работоспособности в своей будущей профессии.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Комплексы упражнений для беременных женщин.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техники безопасности. Правила подбора и хранения инвентаря.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Здоровье человека и влияние на него физических упражнений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Влияние питания на здоровье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Гигиенические и этические нормы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травматизма при занятиях фитнесом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Приемы самомассажа и релаксации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Ценностные ориентации и отношение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к физической культуре и спорту. Общие принципы формирования физической культуры человека.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использования средств физической культуры для оптимизации работоспособности, профилактика нервно-эмоционального и психофизического утомления обучающихся, повышения эффективности учебного труда.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1.Строевая стойка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2.Основная стойка.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3.Смирно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4.Вольно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5.Ровняйсь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6.По порядку рассчитайсь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D3574D" w:rsidRPr="007C5D30" w:rsidRDefault="00D3574D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игры в настольный теннис.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Методы спортивной тренировки, их содержание и характерные особенности.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физической подготовке спортсмена, ее виды, взаимосвязь. Основные задачи и содержание.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Техническая подготовка. Объективные критерии оценки. Основы методики.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Перспективное, текущее и оперативное планирование подготовки спортсмена. Основные пути достижения необходимой структуры подготовленности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эффективностью тренировочных занятий.</w:t>
      </w:r>
    </w:p>
    <w:p w:rsidR="004F2EBE" w:rsidRDefault="004F2EBE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4F2EBE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EBE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Возникновение шахмат;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Появление шахмат в Европе;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Шахматные правила;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Шахматная этика.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Проникновение шахмат в Европу.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Запрет шахмат церковью.</w:t>
      </w:r>
    </w:p>
    <w:p w:rsidR="005E33AA" w:rsidRPr="007D14CB" w:rsidRDefault="005E33AA" w:rsidP="007C5D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86A" w:rsidRPr="007D14CB" w:rsidRDefault="000B686A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 w:firstRow="0" w:lastRow="0" w:firstColumn="0" w:lastColumn="0" w:noHBand="0" w:noVBand="0"/>
      </w:tblPr>
      <w:tblGrid>
        <w:gridCol w:w="2503"/>
        <w:gridCol w:w="1485"/>
        <w:gridCol w:w="516"/>
        <w:gridCol w:w="510"/>
        <w:gridCol w:w="608"/>
        <w:gridCol w:w="1279"/>
        <w:gridCol w:w="1423"/>
        <w:gridCol w:w="1351"/>
      </w:tblGrid>
      <w:tr w:rsidR="00281313" w:rsidRPr="00592B32" w:rsidTr="007E7551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F2EBE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highlight w:val="yellow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4F2EBE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4"/>
          <w:lang w:eastAsia="ru-RU"/>
        </w:rPr>
      </w:pPr>
    </w:p>
    <w:p w:rsidR="00327E99" w:rsidRPr="00327E99" w:rsidRDefault="00327E99" w:rsidP="00327E9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27E99" w:rsidRPr="00327E99" w:rsidRDefault="00327E99" w:rsidP="00327E9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33AA" w:rsidRPr="007D14CB" w:rsidRDefault="005E33AA" w:rsidP="007D14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5E33AA" w:rsidRPr="007D14CB" w:rsidRDefault="005E33AA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CF7E8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5E33AA" w:rsidRPr="00044818" w:rsidRDefault="005E33AA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Йога в физической культуре и спорте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– «Физическая культура». Направление подготовки 050100 – «Педагогическое образование». Профиль подготовки –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</w:t>
            </w:r>
            <w:r w:rsidR="003C38A2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университет, 2015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160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AB7440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http://www.iprbookshop.ru/32103.html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B54F8B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П. Основы адаптивной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П.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191 с. — (Серия :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978-5-534-07190-0.</w:t>
            </w:r>
          </w:p>
        </w:tc>
        <w:tc>
          <w:tcPr>
            <w:tcW w:w="1858" w:type="dxa"/>
            <w:vAlign w:val="center"/>
          </w:tcPr>
          <w:p w:rsidR="005E33AA" w:rsidRPr="00B54F8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D3574D" w:rsidRDefault="00AB7440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online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osnovy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adaptivnoy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fizicheskoy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kultury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-423971</w:t>
              </w:r>
            </w:hyperlink>
          </w:p>
          <w:p w:rsidR="005E33AA" w:rsidRPr="00D3574D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D3574D" w:rsidRDefault="005E33AA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Default="005E33AA" w:rsidP="00CF7E8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5E33AA" w:rsidRPr="007D14CB" w:rsidRDefault="005E33A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Питание в здоровом образе жизни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050720 - «Физическая культура». Направление подготовки 050100 - «Педагогическое образование». Профиль подготовки -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гуманитарно-педагогический университет, 2014. — 193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AB7440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http://www.iprbookshop.ru/32246.html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Г. Н.   Двигательные способности и физические качества. Разделы теории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бакалавриата и магистратуры / Г. Н. Германов. — 2-е изд., пер.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224 с. — (Серия : Бакалавр и магистр.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Модуль.).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978-5-534-04492-8.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AB7440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https://urait.ru/catalog/415746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E33AA" w:rsidRPr="00CF7E86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3"/>
    <w:p w:rsidR="005E33AA" w:rsidRPr="007D14CB" w:rsidRDefault="005E33A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8.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E33AA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43"/>
        <w:gridCol w:w="4222"/>
      </w:tblGrid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20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2206" w:type="pct"/>
            <w:vAlign w:val="center"/>
          </w:tcPr>
          <w:p w:rsidR="003C38A2" w:rsidRPr="00327E99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5E33AA" w:rsidRPr="007D14CB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8F0659" w:rsidRDefault="005E33AA" w:rsidP="00B75A5F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E33AA" w:rsidRDefault="005E33AA" w:rsidP="00B75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33AA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применя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75A5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E33AA" w:rsidRPr="00B75A5F" w:rsidRDefault="005E33AA" w:rsidP="00B7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A2" w:rsidRPr="00355B6D" w:rsidRDefault="003C38A2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B6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355B6D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3C38A2" w:rsidRPr="00355B6D" w:rsidRDefault="003C38A2" w:rsidP="003C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AB7440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C38A2" w:rsidRPr="00355B6D" w:rsidRDefault="00AB7440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8" w:history="1">
              <w:r w:rsidR="003C38A2" w:rsidRPr="00355B6D">
                <w:rPr>
                  <w:rFonts w:ascii="Times New Roman" w:hAnsi="Times New Roman" w:cs="Times New Roman"/>
                  <w:sz w:val="24"/>
                  <w:szCs w:val="20"/>
                  <w:u w:val="single"/>
                  <w:lang w:eastAsia="ar-SA"/>
                </w:rPr>
                <w:t>https://www.krugosvet.ru</w:t>
              </w:r>
            </w:hyperlink>
            <w:r w:rsidR="003C38A2" w:rsidRPr="00355B6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5E33AA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5E33AA" w:rsidRPr="007D14CB" w:rsidRDefault="005E33AA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42046A">
        <w:rPr>
          <w:rFonts w:ascii="Times New Roman" w:hAnsi="Times New Roman" w:cs="Times New Roman"/>
          <w:sz w:val="28"/>
          <w:szCs w:val="28"/>
          <w:lang w:eastAsia="ar-SA"/>
        </w:rPr>
        <w:t>Традиционные: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2046A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E33AA" w:rsidRPr="0042046A" w:rsidRDefault="005E33AA" w:rsidP="007D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D12693" w:rsidRPr="000B7626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12693" w:rsidRPr="000B7626" w:rsidTr="00BE7B48">
        <w:trPr>
          <w:trHeight w:val="440"/>
        </w:trPr>
        <w:tc>
          <w:tcPr>
            <w:tcW w:w="252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D12693" w:rsidRDefault="00D12693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№ 205</w:t>
            </w:r>
          </w:p>
          <w:p w:rsidR="00D12693" w:rsidRPr="000B7626" w:rsidRDefault="00D12693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lang w:eastAsia="ar-SA"/>
              </w:rPr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1731" w:type="pct"/>
            <w:vAlign w:val="center"/>
          </w:tcPr>
          <w:p w:rsidR="00D12693" w:rsidRPr="000B7626" w:rsidRDefault="00D12693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693" w:rsidRPr="000B7626" w:rsidTr="00BE7B48">
        <w:trPr>
          <w:trHeight w:val="240"/>
        </w:trPr>
        <w:tc>
          <w:tcPr>
            <w:tcW w:w="252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D12693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103 </w:t>
            </w:r>
          </w:p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. Лаборатория, оборудованная для проведения занятий по криминалистике. Учебная аудитория для групповых и 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индивидуальных консультаций</w:t>
            </w:r>
          </w:p>
        </w:tc>
        <w:tc>
          <w:tcPr>
            <w:tcW w:w="1509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</w:t>
            </w:r>
            <w:r w:rsidRPr="000B7626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D12693" w:rsidRPr="000B7626" w:rsidRDefault="00D12693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D12693" w:rsidRPr="000B7626" w:rsidTr="00BE7B48">
        <w:trPr>
          <w:trHeight w:val="240"/>
        </w:trPr>
        <w:tc>
          <w:tcPr>
            <w:tcW w:w="252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Стеллажи, шкаф</w:t>
            </w:r>
          </w:p>
        </w:tc>
        <w:tc>
          <w:tcPr>
            <w:tcW w:w="1731" w:type="pct"/>
            <w:vAlign w:val="center"/>
          </w:tcPr>
          <w:p w:rsidR="00D12693" w:rsidRPr="000B7626" w:rsidRDefault="00D12693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693" w:rsidRPr="000B7626" w:rsidTr="00BE7B48">
        <w:trPr>
          <w:trHeight w:val="240"/>
        </w:trPr>
        <w:tc>
          <w:tcPr>
            <w:tcW w:w="252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D12693" w:rsidRPr="000B7626" w:rsidRDefault="00D12693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0B7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E33AA" w:rsidRPr="007D14CB" w:rsidRDefault="005E33AA" w:rsidP="000B68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27E99" w:rsidRPr="00327E99" w:rsidRDefault="00327E99" w:rsidP="00327E9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327E99" w:rsidRPr="00327E99" w:rsidRDefault="00327E99" w:rsidP="00327E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33AA" w:rsidRDefault="005E33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  <w:sectPr w:rsidR="00327E99" w:rsidSect="007D14CB"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462CD8" w:rsidRPr="00592B32" w:rsidTr="00660A58">
        <w:tc>
          <w:tcPr>
            <w:tcW w:w="562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62CD8" w:rsidRPr="00592B32" w:rsidTr="00660A58">
        <w:trPr>
          <w:trHeight w:val="1134"/>
        </w:trPr>
        <w:tc>
          <w:tcPr>
            <w:tcW w:w="562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62CD8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-318770</wp:posOffset>
                  </wp:positionV>
                  <wp:extent cx="1025525" cy="700405"/>
                  <wp:effectExtent l="0" t="0" r="0" b="0"/>
                  <wp:wrapNone/>
                  <wp:docPr id="4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C23" w:rsidRPr="00592B32" w:rsidTr="00660A58">
        <w:trPr>
          <w:trHeight w:val="1134"/>
        </w:trPr>
        <w:tc>
          <w:tcPr>
            <w:tcW w:w="562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E8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81C23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-233045</wp:posOffset>
                  </wp:positionV>
                  <wp:extent cx="1025525" cy="700405"/>
                  <wp:effectExtent l="0" t="0" r="0" b="0"/>
                  <wp:wrapNone/>
                  <wp:docPr id="1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C23" w:rsidRPr="00592B32" w:rsidTr="00660A58">
        <w:trPr>
          <w:trHeight w:val="1134"/>
        </w:trPr>
        <w:tc>
          <w:tcPr>
            <w:tcW w:w="562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E8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-81915</wp:posOffset>
                  </wp:positionV>
                  <wp:extent cx="1025525" cy="700405"/>
                  <wp:effectExtent l="0" t="0" r="0" b="0"/>
                  <wp:wrapNone/>
                  <wp:docPr id="5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81C23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7D14CB" w:rsidRDefault="005E33AA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3AA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CC" w:rsidRDefault="00160CCC">
      <w:pPr>
        <w:spacing w:after="0" w:line="240" w:lineRule="auto"/>
      </w:pPr>
      <w:r>
        <w:separator/>
      </w:r>
    </w:p>
  </w:endnote>
  <w:endnote w:type="continuationSeparator" w:id="0">
    <w:p w:rsidR="00160CCC" w:rsidRDefault="0016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CC" w:rsidRDefault="00160CCC">
      <w:pPr>
        <w:spacing w:after="0" w:line="240" w:lineRule="auto"/>
      </w:pPr>
      <w:r>
        <w:separator/>
      </w:r>
    </w:p>
  </w:footnote>
  <w:footnote w:type="continuationSeparator" w:id="0">
    <w:p w:rsidR="00160CCC" w:rsidRDefault="0016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4D" w:rsidRDefault="00F40899" w:rsidP="004B3B8A">
    <w:pPr>
      <w:pStyle w:val="a3"/>
      <w:jc w:val="center"/>
    </w:pPr>
    <w:r>
      <w:fldChar w:fldCharType="begin"/>
    </w:r>
    <w:r w:rsidR="006E28C6">
      <w:instrText>PAGE   \* MERGEFORMAT</w:instrText>
    </w:r>
    <w:r>
      <w:fldChar w:fldCharType="separate"/>
    </w:r>
    <w:r w:rsidR="00AB744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408C4"/>
    <w:rsid w:val="00044818"/>
    <w:rsid w:val="00044C02"/>
    <w:rsid w:val="00090FF8"/>
    <w:rsid w:val="000B686A"/>
    <w:rsid w:val="000C2FD9"/>
    <w:rsid w:val="000E5B9E"/>
    <w:rsid w:val="001545C0"/>
    <w:rsid w:val="00160CCC"/>
    <w:rsid w:val="0016515F"/>
    <w:rsid w:val="00180B23"/>
    <w:rsid w:val="00182CD7"/>
    <w:rsid w:val="00191277"/>
    <w:rsid w:val="00196ACA"/>
    <w:rsid w:val="001A3963"/>
    <w:rsid w:val="001A58CB"/>
    <w:rsid w:val="001C7777"/>
    <w:rsid w:val="001D42A7"/>
    <w:rsid w:val="001F684F"/>
    <w:rsid w:val="00213C5C"/>
    <w:rsid w:val="00216DA7"/>
    <w:rsid w:val="0027221D"/>
    <w:rsid w:val="00272515"/>
    <w:rsid w:val="00281313"/>
    <w:rsid w:val="002B6BEC"/>
    <w:rsid w:val="002D34D6"/>
    <w:rsid w:val="002D63FD"/>
    <w:rsid w:val="002F5756"/>
    <w:rsid w:val="003226CD"/>
    <w:rsid w:val="00327E99"/>
    <w:rsid w:val="003501B4"/>
    <w:rsid w:val="00372967"/>
    <w:rsid w:val="0037597A"/>
    <w:rsid w:val="0039692B"/>
    <w:rsid w:val="003B2790"/>
    <w:rsid w:val="003B40D5"/>
    <w:rsid w:val="003B744E"/>
    <w:rsid w:val="003C38A2"/>
    <w:rsid w:val="003F4ADA"/>
    <w:rsid w:val="00400FD1"/>
    <w:rsid w:val="0042046A"/>
    <w:rsid w:val="004262AD"/>
    <w:rsid w:val="00462CD8"/>
    <w:rsid w:val="004638B4"/>
    <w:rsid w:val="004B3B8A"/>
    <w:rsid w:val="004F2EBE"/>
    <w:rsid w:val="005029DF"/>
    <w:rsid w:val="00545F81"/>
    <w:rsid w:val="00591B1E"/>
    <w:rsid w:val="00592B32"/>
    <w:rsid w:val="005C4836"/>
    <w:rsid w:val="005E33AA"/>
    <w:rsid w:val="005F3CC6"/>
    <w:rsid w:val="00606181"/>
    <w:rsid w:val="0061185B"/>
    <w:rsid w:val="00633474"/>
    <w:rsid w:val="006548E5"/>
    <w:rsid w:val="00690CEC"/>
    <w:rsid w:val="00693A94"/>
    <w:rsid w:val="006C4164"/>
    <w:rsid w:val="006E28C6"/>
    <w:rsid w:val="00704B68"/>
    <w:rsid w:val="00720820"/>
    <w:rsid w:val="00720857"/>
    <w:rsid w:val="00747E02"/>
    <w:rsid w:val="007B1E08"/>
    <w:rsid w:val="007C5D30"/>
    <w:rsid w:val="007D14CB"/>
    <w:rsid w:val="007E1128"/>
    <w:rsid w:val="007E7551"/>
    <w:rsid w:val="007F08E9"/>
    <w:rsid w:val="00800266"/>
    <w:rsid w:val="008303EB"/>
    <w:rsid w:val="00860B55"/>
    <w:rsid w:val="008636FD"/>
    <w:rsid w:val="008744CD"/>
    <w:rsid w:val="008A5150"/>
    <w:rsid w:val="008B6223"/>
    <w:rsid w:val="008D4D6D"/>
    <w:rsid w:val="008F0659"/>
    <w:rsid w:val="008F2DAE"/>
    <w:rsid w:val="009171DC"/>
    <w:rsid w:val="0096643E"/>
    <w:rsid w:val="00970EB8"/>
    <w:rsid w:val="009950DC"/>
    <w:rsid w:val="009B78F7"/>
    <w:rsid w:val="009D40FF"/>
    <w:rsid w:val="00A5184A"/>
    <w:rsid w:val="00A62553"/>
    <w:rsid w:val="00A657CC"/>
    <w:rsid w:val="00A818A4"/>
    <w:rsid w:val="00AB7440"/>
    <w:rsid w:val="00AB7F7B"/>
    <w:rsid w:val="00AE7095"/>
    <w:rsid w:val="00B30635"/>
    <w:rsid w:val="00B54F8B"/>
    <w:rsid w:val="00B75A5F"/>
    <w:rsid w:val="00B932D4"/>
    <w:rsid w:val="00B96DF2"/>
    <w:rsid w:val="00BA3385"/>
    <w:rsid w:val="00BC7513"/>
    <w:rsid w:val="00BE64C7"/>
    <w:rsid w:val="00BF0C6E"/>
    <w:rsid w:val="00C011EB"/>
    <w:rsid w:val="00C0265D"/>
    <w:rsid w:val="00C262F0"/>
    <w:rsid w:val="00C34FEA"/>
    <w:rsid w:val="00C4068B"/>
    <w:rsid w:val="00C45316"/>
    <w:rsid w:val="00C71647"/>
    <w:rsid w:val="00CC2B65"/>
    <w:rsid w:val="00CF7E86"/>
    <w:rsid w:val="00D12693"/>
    <w:rsid w:val="00D24993"/>
    <w:rsid w:val="00D3574D"/>
    <w:rsid w:val="00D62A63"/>
    <w:rsid w:val="00D82B7B"/>
    <w:rsid w:val="00D90E48"/>
    <w:rsid w:val="00D90F49"/>
    <w:rsid w:val="00E377C9"/>
    <w:rsid w:val="00E46A5D"/>
    <w:rsid w:val="00E77CFB"/>
    <w:rsid w:val="00E81C23"/>
    <w:rsid w:val="00EE6866"/>
    <w:rsid w:val="00F052D0"/>
    <w:rsid w:val="00F301DF"/>
    <w:rsid w:val="00F358CA"/>
    <w:rsid w:val="00F40899"/>
    <w:rsid w:val="00F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7D14C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basedOn w:val="a0"/>
    <w:uiPriority w:val="99"/>
    <w:rsid w:val="00B7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32103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s://www.minsport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catalog/41574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246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ook/osnovy-adaptivnoy-fizicheskoy-kultury-42397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www.rosminzdra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3447</Words>
  <Characters>25967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29356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13</cp:revision>
  <cp:lastPrinted>2019-09-25T08:22:00Z</cp:lastPrinted>
  <dcterms:created xsi:type="dcterms:W3CDTF">2019-02-24T15:58:00Z</dcterms:created>
  <dcterms:modified xsi:type="dcterms:W3CDTF">2019-11-20T10:01:00Z</dcterms:modified>
</cp:coreProperties>
</file>