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A15B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133985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Б1.В.ДВ.02.01 Гештальт-психология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1583" w:rsidRPr="007D14CB" w:rsidRDefault="00031583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A15B1" w:rsidRPr="008B3AF4" w:rsidRDefault="007D14CB" w:rsidP="008B3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8B3AF4" w:rsidRP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8B3AF4" w:rsidRP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8B3AF4" w:rsidRPr="008B3AF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A15B1" w:rsidRPr="000A15B1" w:rsidRDefault="000A15B1" w:rsidP="000A1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623695" cy="6000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A15B1" w:rsidRPr="000A15B1" w:rsidRDefault="00D12B56" w:rsidP="000A15B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21590</wp:posOffset>
            </wp:positionV>
            <wp:extent cx="1139825" cy="534035"/>
            <wp:effectExtent l="0" t="0" r="3175" b="0"/>
            <wp:wrapNone/>
            <wp:docPr id="4" name="Рисунок 4" descr="Подпись Рябыш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Рябышев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tabs>
          <w:tab w:val="left" w:pos="7655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Рябышева</w:t>
      </w:r>
    </w:p>
    <w:p w:rsidR="007D14CB" w:rsidRDefault="007D14CB" w:rsidP="000A15B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8B3A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азвить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азвить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реализации базовых процедур анализа семейных</w:t>
      </w:r>
      <w:r w:rsidR="00007A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личностных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азвить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просветительской деятельности среди населения с целью повышения уровня психологической культуры общества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962E8D" w:rsidRPr="00962E8D" w:rsidRDefault="00962E8D" w:rsidP="003828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Сформировать навыки самостоятельного стр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уктурирования процесса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и психотерапии.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38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– дисциплинам по выбору.</w:t>
      </w:r>
    </w:p>
    <w:p w:rsidR="00B932D4" w:rsidRPr="00B932D4" w:rsidRDefault="007D14CB" w:rsidP="001451C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3828B8" w:rsidRPr="003B4F4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«Общая психология», «Психологии развития и возрастная психология», «Социальная пси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хология», «Психология общения» </w:t>
      </w:r>
      <w:r w:rsidR="000702DE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</w:t>
      </w:r>
      <w:r w:rsidR="003828B8" w:rsidRPr="003B4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2DE" w:rsidRPr="000702DE" w:rsidRDefault="000702DE" w:rsidP="000702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Pr="000702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 получению первичных профессиональных умений и навыков, </w:t>
      </w:r>
      <w:r w:rsidRPr="0007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деятельности, педагогическая практика,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 работа, п</w:t>
      </w:r>
      <w:r w:rsidRPr="0007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реддипломная практика.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8B3AF4" w:rsidRPr="007D14CB" w:rsidRDefault="008B3AF4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1791"/>
        <w:gridCol w:w="2038"/>
        <w:gridCol w:w="1841"/>
      </w:tblGrid>
      <w:tr w:rsidR="003B4F44" w:rsidRPr="003828B8" w:rsidTr="008B3A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3828B8" w:rsidTr="008B3AF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3828B8" w:rsidTr="008B3A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6" w:rsidRPr="00212CF6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применением законов восприятия. </w:t>
            </w:r>
          </w:p>
          <w:p w:rsidR="003B4F44" w:rsidRPr="003828B8" w:rsidRDefault="003B4F44" w:rsidP="008B3AF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6" w:rsidRPr="00212CF6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гештальт-психологии в различных научных и научно-практических областях психологии. </w:t>
            </w:r>
          </w:p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законов восприятия.</w:t>
            </w:r>
          </w:p>
        </w:tc>
      </w:tr>
      <w:tr w:rsidR="003B4F44" w:rsidRPr="003828B8" w:rsidTr="008B3A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8B3A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8B3AF4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гештальт-психологии,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F4" w:rsidRPr="007F42FC" w:rsidRDefault="008B3AF4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3828B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3828B8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551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B3AF4" w:rsidRDefault="008B3AF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8B3AF4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3828B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3828B8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551B8A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21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(СР</w:t>
            </w:r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702"/>
        <w:gridCol w:w="567"/>
        <w:gridCol w:w="706"/>
        <w:gridCol w:w="710"/>
        <w:gridCol w:w="995"/>
        <w:gridCol w:w="1418"/>
        <w:gridCol w:w="1236"/>
      </w:tblGrid>
      <w:tr w:rsidR="00551B8A" w:rsidRPr="008B3AF4" w:rsidTr="008B3AF4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8A" w:rsidRPr="008B3AF4" w:rsidRDefault="00551B8A" w:rsidP="008B3AF4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1B8A" w:rsidRPr="008B3AF4" w:rsidTr="008B3AF4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F4" w:rsidRPr="008B3AF4" w:rsidTr="008B3AF4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1.Основны гештальт</w:t>
            </w:r>
            <w:r w:rsid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терапии. История гештальт-терапии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написанию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2.Формирование гештальт-терапии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8B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гештальт-терапии с психоанализом, феноменологией, гуманистической психологией, экзистенциальной психологией, восточной философией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гештальт-терапии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Self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в гештальте»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6.Рабочая модель гештальт-терапевта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супружеских пар, семьи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B3AF4" w:rsidRPr="008B3AF4" w:rsidTr="008B3AF4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детей.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AF4" w:rsidRPr="008B3AF4" w:rsidTr="008B3AF4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 Гештальт-терапия психосоматических проблем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277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Осно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гештальт-психологии -  </w:t>
      </w:r>
      <w:r w:rsidR="00E8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гештальт-психологии - Германия </w:t>
      </w:r>
      <w:smartTag w:uri="urn:schemas-microsoft-com:office:smarttags" w:element="metricconverter">
        <w:smartTagPr>
          <w:attr w:name="ProductID" w:val="1910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1910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экспериментальная группа Вертгеймер, В. Келер, К. Коффка, изучающая восприятие. Келер (1920) - значение «инсайта». К. Левин (1933) - «поле», группа как динамическое целое</w:t>
      </w:r>
      <w:r w:rsidR="00936F08"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 фи-феномен. Д. Катц - свойства образа - константность. Е. Рубин феномен «фигуры и фона». Исторические и научные «корни» гештальта: феноменология, экзистенциализм, гештальтпсихология. Гештальт и психоанализ. Фигура Ф. Перлза и ее влияние на развитие гештальт-терапии. Пол Гудмэн, Лора Перлз.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Гештальтпсихология: исторический очерк.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Исторические и научные «корни» гештальта: феноменология, экзистенциализм, гештальтпсихология.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Гештальт и психоанализ. Фигура Ф. Перлза и ее влияние на развитие гештальт-терапии. Пол Гудмэн, Лора Перлз.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Целостный  фи-феномен.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Д. Катц - свойства образа - константность.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Е. Рубин феномен «фигуры и фона».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Исторические и научные «корни» гештальта: феноменология, экзистенциализм, гештальтпсихология.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Гештальт и психоанализ.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Фигура Ф. Перлза и ее влияние на развитие гештальт-терапии.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Пол Гудмэн, Лора Перлз.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гештальт-терапии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smartTag w:uri="urn:schemas-microsoft-com:office:smarttags" w:element="metricconverter">
        <w:smartTagPr>
          <w:attr w:name="ProductID" w:val="1951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официальное рождение гештальт-терапии, основатель Ф. Перлз. </w:t>
      </w:r>
      <w:smartTag w:uri="urn:schemas-microsoft-com:office:smarttags" w:element="metricconverter">
        <w:smartTagPr>
          <w:attr w:name="ProductID" w:val="1952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1952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Перлз, Гудмэн, Фромм - Нью-Йорк и Кливленд. </w:t>
      </w:r>
      <w:smartTag w:uri="urn:schemas-microsoft-com:office:smarttags" w:element="metricconverter">
        <w:smartTagPr>
          <w:attr w:name="ProductID" w:val="1964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1964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 Изален открывается Гештальт-центр. Выдвижение Гештальт-терапией на первый план осознания того, что происходит в настоящий момент на разных уровнях – телесном, эмоциональном, интел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лектуальном. Место гештальт-терапии в ряду других психоаналитических подходов. Гештальт – источники и базовые принципы. Теоретические основы гештальт-подхода. Поле «организм - окружающая среда». Определение понятий «организм» и «среда», их дуальность. Теория SELF. Взаимодействие организма и среды. Граница контакта и окружающей среды. Фазы контакта. Базовые понятия гештальт-подхода. 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Теоретические основы гештальт-подхода.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Тенденция развития: от описательного подхода к систематизации.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Поле «организм - окружающая среда».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понятий «организм» и «среда», их дуальность.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SELF. Взаимодействие организма и среды.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Граница контакта и окружающей среды.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Фазы контакта.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Базовые понятия гештальт-подхода.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гештальт-терапии с психоанализом, феноменологией, гуманистической психологией, экзистенциальной психологией, восточной философией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 - терапевтическая ветвь экзистенциализма. Основные положения экзистенциализма, принятые гештальт-подходом: конкретное переживание важнее абстрактных принципов; экзистенциальным является пони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человеком самого себя, которое служит существованию; своеобразие каждой человеческой экзистенции; ответственность, присущая человеку, созидающему собственную экзистенцию, обретающему свободу (К. Ясперс, М. Хайдеггер, Ж.-П. Сартр). Принятие Гештальт-психологией феноменологического метода исследования (Ф. Брентано, Э. Гуссерль). Свойства «Гештальта». Связь гештальт-терапии с экзистенциализмом. Связь гештальт-терапии с феноменологией. Холистическая доктрина, отличающая  Гештальт от психоанализа. Феноменология и признание субъективности и иррациональности восприятия. Экзистенциальный подход и отношение к ответственности.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Принятие Гештальт-психологией феноменологического метода исследования (Ф. Брентано, Э. Гуссерль).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Свойства «Гештальта».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Связь гештальт-терапии с экзистенциализмом.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Связь гештальт-терапии с феноменологией.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Феноменология и признание субъективности и иррациональности восприятия.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Экзистенциальный подход и отношение к ответственности.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гештальт-терапии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 - саморегулирующаяся сила, заключающаяся в экологиче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мудрости. Организм - это поле – «организм – среда» (М. Бубер: «Я и Ты в Мы»). Творческое приспособление организма к среде - создание новой конфигурации из наличных элементов. Изучение  феноменов контакта, которые связывают организм и среду. Возможность вхождения в контакт «здесь и теперь», только с тем, что образует фигуру, что отделяется от фона. Фигура есть гештальт. Выделение фигуры для осознания своего опыта, восстановления  непрерыв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сознания. Отличие осознавания  от рефлексии. Фон жизни - прошлый опыт незаконченных дел, актуальный опыт. Интеграция полярности личности через осознавание.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Выделение фигуры для осознания своего опыта, восстановления  непрерыв¬ности сознания.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Отличие осознавания  от рефлексии.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 жизни - прошлый опыт незаконченных дел, актуальный опыт.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Интеграция полярности личности через осознавание.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Понятие «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гештальте»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Гудман - первый теоретик гештальта. Понятия «self» – все те послания, которые человек делает миру, функционируя в трех режимах:  «id», как «ego» и как «personality». «Id» - отражение потребностей человека на уровне тела. «Personality» – весь жизненный опыт человека. «Ego» и постоянный выбор между потребностями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желаниями. Отличие от модели З. Фрейда (Суперэго, эго, ид). Возможные нарушения на данных уровнях и терапевтические модели воздействия. Два вида контакта со средой: пассивная адаптации и творческое приспособление. Две функции границы-контакт – отграничение и коммуникация с окружающей средой. Закон формирования гештальтов – целостность законченность. Структура и функции self в психоанализе. Теория SELF. Контакт с потребностью. Граница контакта с окружающими.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и функции self в психоанализе. Теория SELF.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 с потребностью.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Граница контакта с окружающими.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Отличие от модели З. Фрейда (Суперэго, эго, ид). Возможные нарушения на данных уровнях и терапевтические модели воздействия.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Два вида контакта со средой: пассивная адаптации и творческое приспособление.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Две функции границы-контакт – отграничение и коммуникация с окружающей средой.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формирования гештальтов – целостность законченность.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функции self в психоанализе. Теория SELF.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 с потребностью. Граница контакта с окружающими.</w:t>
      </w:r>
    </w:p>
    <w:p w:rsidR="00936F08" w:rsidRPr="00936F08" w:rsidRDefault="00936F08" w:rsidP="00936F0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6. Рабочая модель гештальт-терапевта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цикла контакта. Последовательное построение и разрушение гештальтов здоровым организмом. Контакт происходит на границе с окружающим миром. Совместное проживание терапевтом симптома с клиентом. Терапевтические интервенции. Преобразование личного опыта клиента. Нарушение функции personality - представление опыта в фантазии.   Нарушение функции ego: слияние, интроекция, проекция, ретрофлексия. Нарушение функции id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Практические навыки работы с клиентом в рамках теории поля. Определение поведенческих характеристик структурных компонентов личности в процессе гештальт-консультирования.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теории поля К. Левина в психологическом 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теории поля К. Левина.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использования теории поля в гештальт-консультировании.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функции personality - представление опыта в фантазии.   Нарушение функции ego: слияние, интроекция, проекция, ретрофлексия.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5.Нарушение функции id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 работы с клиентом в рамках теории поля.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супружеских пар, семьи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3828B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Гештальт-терапия - терапия контакта. Пентаграмма Гингера: рациональное измерение, физическое измерение, социальное измерение, духовное измерение. Поиск прерывания контакта. Семья - живой организм. Помощь гештальт-терапии в осознании членами семьи вклада в общую жизнь (материальные, эмоциональные, потребностные, духовные). Проблемы: детей и стариков, братьев и сестер, подростков, молодых семей. Опыт работы с молодыми мамами. Переносы. Положительные и отрицательные стороны. Контрпереносы. Причины контрпереносов. Профилактика переносов, контрпереносов. Этапы отношений. Завершение отношений. Пентаграмма Гингера, включающая: рациональное измерение, физическое измерение, социальное измерение, духовное измерение. </w:t>
      </w:r>
    </w:p>
    <w:p w:rsidR="00E85AA3" w:rsidRDefault="00E85AA3" w:rsidP="003828B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 подход в семенном консультировании. Семья - живущий организм с различными уровнями проявлений.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Переносы. Положительные и отрицательные стороны. Контрпереносы. Причины контрпереносов.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переносов, контрпереносов. Этапы отношений. Завершение отношений.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детей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работе с детьми. Гештальт-терапия проблем детей (Оклендер). Особенности детской терапии. Методы, используемые в работе с детьми: рисуночные, игровые, телесные упражнения, разыгрывание сцен. Особенности сопротивления детей в процессе терапии. Особенности работы с детскими страхами. Особенности работы со страхом и агрессией. Гештальт-терапия проблем детей (Оклендер). Рисуночные, игровые, телесные упражнения, разыгрывание сцен с детьми. Работа со страхом, агрессией, одиночеством, психосоматикой, застенчивостью, аутизмом и др. Процесс терапии, завершение. Проблемы, с которыми сталкивается терапевт.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Трудности в работе с детьми. Особенности сопротивления детей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Гештальт-терапия проблем детей (Оклендер).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3.Особенности детской терапии.</w:t>
      </w:r>
    </w:p>
    <w:p w:rsidR="00936F08" w:rsidRPr="00936F08" w:rsidRDefault="00936F08" w:rsidP="00936F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Гештальт-терапия психосоматических проблем - </w:t>
      </w:r>
      <w:r w:rsidR="00E85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соматики с позиций гештальт-подхода. Природа психосоматики.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Методы гештальт-исследования психосоматических проявлений. Природа соматики с позиций гештальт-подхода. 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Природа соматики с позиций гештальт-подхода.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Природа психосоматики.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Соматическое чувство «Я» и его нарушения.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8B3AF4">
      <w:pPr>
        <w:widowControl w:val="0"/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8B3AF4" w:rsidRPr="00936F08" w:rsidRDefault="008B3AF4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702"/>
        <w:gridCol w:w="569"/>
        <w:gridCol w:w="710"/>
        <w:gridCol w:w="708"/>
        <w:gridCol w:w="992"/>
        <w:gridCol w:w="1416"/>
        <w:gridCol w:w="1618"/>
      </w:tblGrid>
      <w:tr w:rsidR="00E674CC" w:rsidRPr="008B3AF4" w:rsidTr="008B3AF4">
        <w:trPr>
          <w:trHeight w:val="2218"/>
          <w:tblHeader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CC" w:rsidRPr="008B3AF4" w:rsidRDefault="00E674CC" w:rsidP="008B3AF4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1B8A" w:rsidRPr="008B3AF4" w:rsidTr="008B3AF4">
        <w:trPr>
          <w:tblHeader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8A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2F59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1.Основны гештальт-терапии. История гештальт-терапии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2.Формирование гештальт-терапии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5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8B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гештальт-терапии с психоанализем, феноменологией, гуманистической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психологией, экзистенциальной психологией, восточной философией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7, ПК 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доклада, реферата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гештальт-терапии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Self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в гештальте»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6.Рабочая модель гештальт-терапевта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 супружеских пар, семьи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2F59" w:rsidRPr="008B3AF4" w:rsidTr="008B3AF4">
        <w:trPr>
          <w:trHeight w:val="278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детей.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6D2F59" w:rsidRPr="008B3AF4" w:rsidTr="008B3AF4">
        <w:trPr>
          <w:trHeight w:val="27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Гештальт-терапия психосоматических проблем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P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Осно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гештальт-психологии -  18 ч.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гештальт-психологии - Германия </w:t>
      </w:r>
      <w:smartTag w:uri="urn:schemas-microsoft-com:office:smarttags" w:element="metricconverter">
        <w:smartTagPr>
          <w:attr w:name="ProductID" w:val="1910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1910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экспериментальная группа Вертгеймер, В. Келер, К. Коффка, изучающая восприятие. Келер (1920) - значение «инсайта». К. Левин (1933) - «поле», группа как динамическое целое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 фи-феномен. Д. Катц - свойства образа - константность. Е. Рубин феномен «фигуры и фона». Исторические и научные «корни» гештальта: феноменология, экзистенциализм, гештальтпсихология. Гештальт и психоанализ. Фигура Ф. Перлза и ее влияние на развитие гештальт-терапии. Пол Гудмэн, Лора Перлз.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Гештальтпсихология: исторический очерк.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Исторические и научные «корни» гештальта: феноменология, экзистенциализм, гештальтпсихология.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Гештальт и психоанализ. Фигура Ф. Перлза и ее влияние на развитие гештальт-терапии. Пол Гудмэн, Лора Перлз.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Целостный  фи-феномен.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Д. Катц - свойства образа - константность.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Е. Рубин феномен «фигуры и фона».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Исторические и научные «корни» гештальта: феноменология, экзистенциализм, гештальтпсихология.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Гештальт и психоанализ.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Фигура Ф. Перлза и ее влияние на развитие гештальт-терапии.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Пол Гудмэн, Лора Перлз.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гештальт-терапии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smartTag w:uri="urn:schemas-microsoft-com:office:smarttags" w:element="metricconverter">
        <w:smartTagPr>
          <w:attr w:name="ProductID" w:val="1951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официальное рождение гештальт-терапии, основатель Ф. Перлз. </w:t>
      </w:r>
      <w:smartTag w:uri="urn:schemas-microsoft-com:office:smarttags" w:element="metricconverter">
        <w:smartTagPr>
          <w:attr w:name="ProductID" w:val="1952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1952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Перлз, Гудмэн, Фромм - Нью-Йорк и Кливленд. </w:t>
      </w:r>
      <w:smartTag w:uri="urn:schemas-microsoft-com:office:smarttags" w:element="metricconverter">
        <w:smartTagPr>
          <w:attr w:name="ProductID" w:val="1964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1964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 Изален открывается Гештальт-центр. Выдвижение Гештальт-терапией на первый план осознания того, что происходит в настоящий момент на разных уровнях – телесном, эмоциональном, интел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лектуальном. Место гештальт-терапии в ряду других психоаналитических подходов. Гештальт – источники и базовые принципы. Теоретические основы гештальт-подхода. Поле «организм - окружающая среда». Определение понятий «организм» и «среда», их дуальность. Теория SELF. Взаимодействие организма и среды. Граница контакта и окружающей среды. Фазы контакта. Базовые понятия гештальт-подхода. 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Теоретические основы гештальт-подхода.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Тенденция развития: от описательного подхода к систематизации.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Поле «организм - окружающая среда».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понятий «организм» и «среда», их дуальность.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SELF. Взаимодействие организма и среды.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Граница контакта и окружающей среды.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Фазы контакта.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Базовые понятия гештальт-подхода.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гештальт-терапии с психоанализом, феноменологией, гуманистической психологией, экзистенциальной психологией, восточной философией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 - терапевтическая ветвь экзистенциализма. Основные положения экзистенциализма, принятые гештальт-подходом: конкретное переживание важнее абстрактных принципов; экзистенциальным является пони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человеком самого себя, которое служит существованию; своеобразие каждой человеческой экзистенции; ответственность, присущая человеку, созидающему собственную экзистенцию, обретающему свободу (К. Ясперс, М. Хайдеггер, Ж.-П. Сартр). Принятие Гештальт-психологией феноменологического метода исследования (Ф. Брентано, Э. Гуссерль). Свойства «Гештальта». Связь гештальт-терапии с экзистенциализмом. Связь гештальт-терапии с феноменологией. Холистическая доктрина, отличающая  Гештальт от психоанализа. Феноменология и признание субъективности и иррациональности восприятия. Экзистенциальный подход и отношение к ответственности.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Принятие Гештальт-психологией феноменологического метода исследования (Ф. Брентано, Э. Гуссерль).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Свойства «Гештальта».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Связь гештальт-терапии с экзистенциализмом.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Связь гештальт-терапии с феноменологией.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Феноменология и признание субъективности и иррациональности восприятия.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Экзистенциальный подход и отношение к ответственности.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гештальт-терапии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 - саморегулирующаяся сила, заключающаяся в экологиче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мудрости. Организм - это поле – «организм – среда» (М. Бубер: «Я и Ты в Мы»). Творческое приспособление организма к среде - создание новой конфигурации из наличных элементов. Изучение  феноменов контакта, которые связывают организм и среду. Возможность вхождения в контакт «здесь и теперь», только с тем, что образует фигуру, что отделяется от фона. Фигура есть гештальт. Выделение фигуры для осознания своего опыта, восстановления  непрерыв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сознания. Отличие осознавания  от рефлексии. Фон жизни - прошлый опыт незаконченных дел, актуальный опыт. Интеграция полярности личности через осознавание.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Выделение фигуры для осознания своего опыта, восстановления  непрерыв¬ности сознания.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Отличие осознавания  от рефлексии.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 жизни - прошлый опыт незаконченных дел, актуальный опыт.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Интеграция полярности личности через осознавание.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Понятие «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гештальте»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Гудман - первый теоретик гештальта. Понятия «self» – все те послания, которые человек делает миру, функционируя в трех режимах:  «id», как «ego» и как «personality». «Id» - отражение потребностей человека на уровне тела. «Personality» – весь жизненный опыт человека. «Ego» и постоянный выбор между потребностями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желаниями. Отличие от модели З. Фрейда (Суперэго, эго, ид). Возможные нарушения на данных уровнях и терапевтические модели воздействия. Два вида контакта со средой: пассивная адаптации и творческое приспособление. Две функции границы-контакт – отграничение и коммуникация с окружающей средой. Закон формирования гештальтов – целостность законченность. Структура и функции self в психоанализе. Теория SELF. Контакт с потребностью. Граница контакта с окружающими.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и функции self в психоанализе. Теория SELF.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 с потребностью.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Граница контакта с окружающими.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Отличие от модели З. Фрейда (Суперэго, эго, ид). Возможные нарушения на данных уровнях и терапевтические модели воздействия.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Два вида контакта со средой: пассивная адаптации и творческое приспособление.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Две функции границы-контакт – отграничение и коммуникация с окружающей средой.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 формирования гештальтов – целостность законченность.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функции self в психоанализе. Теория SELF.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 с потребностью. Граница контакта с окружающими.</w:t>
      </w:r>
    </w:p>
    <w:p w:rsidR="00E85AA3" w:rsidRPr="00936F08" w:rsidRDefault="00E85AA3" w:rsidP="00E85AA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6. Рабочая модель гештальт-терапевта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цикла контакта. Последовательное построение и разрушение гештальтов здоровым организмом. Контакт происходит на границе с окружающим миром. Совместное проживание терапевтом симптома с клиентом. Терапевтические интервенции. Преобразование личного опыта клиента. Нарушение функции personality - представление опыта в фантазии.   Нарушение функции ego: слияние, интроекция, проекция, ретрофлексия. Нарушение функции id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Практические навыки работы с клиентом в рамках теории поля. Определение поведенческих характеристик структурных компонентов личности в процессе гештальт-консультирования.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теории поля К. Левина в психологическом 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теории поля К. Левина.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использования теории поля в гештальт-консультировании.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функции personality - представление опыта в фантазии.   Нарушение функции ego: слияние, интроекция, проекция, ретрофлексия.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5.Нарушение функции id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 работы с клиентом в рамках теории поля.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супружеских пар, семьи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Гештальт-терапия - терапия контакта. Пентаграмма Гингера: рациональное измерение, физическое измерение, социальное измерение, духовное измерение. Поиск прерывания контакта. Семья - живой организм. Помощь гештальт-терапии в осознании членами семьи вклада в общую жизнь (материальные, эмоциональные, потребностные, духовные). Проблемы: детей и стариков, братьев и сестер, подростков, молодых семей. Опыт работы с молодыми мамами. Переносы. Положительные и отрицательные стороны. Контрпереносы. Причины контрпереносов. Профилактика переносов, контрпереносов. Этапы отношений. Завершение отношений. Пентаграмма Гингера, включающая: рациональное измерение, физическое измерение, социальное измерение, духовное измерение. 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 подход в семенном консультировании. Семья - живущий организм с различными уровнями проявлений.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Переносы. Положительные и отрицательные стороны. Контрпереносы. Причины контрпереносов.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переносов, контрпереносов. Этапы отношений. Завершение отношений.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работе с детьми. Гештальт-терапия проблем детей (Оклендер). Особенности детской терапии. Методы, используемые в работе с детьми: рисуночные, игровые, телесные упражнения, разыгрывание сцен. Особенности сопротивления детей в процессе терапии. Особенности работы с детскими страхами. Особенности работы со страхом и агрессией. Гештальт-терапия проблем детей (Оклендер). Рисуночные, игровые, телесные упражнения, разыгрывание сцен с детьми. Работа со страхом, агрессией, одиночеством, психосоматикой, застенчивостью, аутизмом и др. Процесс терапии, завершение. Проблемы, с которыми сталкивается терапевт.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Трудности в работе с детьми. Особенности сопротивления детей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Гештальт-терапия проблем детей (Оклендер).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3.Особенности детской терапии.</w:t>
      </w:r>
    </w:p>
    <w:p w:rsidR="00E85AA3" w:rsidRPr="00936F08" w:rsidRDefault="00E85AA3" w:rsidP="00E85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Гештальт-терапия психосоматических проблем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соматики с позиций гештальт-подхода. Природа психосоматики.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Методы гештальт-исследования психосоматических проявлений. Природа соматики с позиций гештальт-подхода. 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Природа соматики с позиций гештальт-подхода.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Природа психосоматики.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Соматическое чувство «Я» и его нарушения.</w:t>
      </w: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79" w:rsidRPr="00C10B79" w:rsidRDefault="001E1D8B" w:rsidP="00C10B7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10B79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C10B79" w:rsidRPr="00C10B7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C10B79" w:rsidRPr="00C10B79" w:rsidRDefault="00C10B79" w:rsidP="00C10B7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10B79" w:rsidRPr="00C10B79" w:rsidRDefault="00C10B79" w:rsidP="00C10B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10B79" w:rsidRDefault="00C10B79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8B261A" w:rsidRPr="008B261A" w:rsidRDefault="008B261A" w:rsidP="008B261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26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8B261A" w:rsidRPr="008B261A" w:rsidRDefault="008B261A" w:rsidP="008B261A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61A" w:rsidRDefault="008B261A" w:rsidP="008B261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1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686"/>
        <w:gridCol w:w="1984"/>
        <w:gridCol w:w="1949"/>
      </w:tblGrid>
      <w:tr w:rsidR="004B3B8A" w:rsidRPr="00C766B7" w:rsidTr="00E85AA3">
        <w:trPr>
          <w:trHeight w:val="828"/>
        </w:trPr>
        <w:tc>
          <w:tcPr>
            <w:tcW w:w="670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(о.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686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49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C766B7" w:rsidTr="00E85AA3">
        <w:trPr>
          <w:trHeight w:val="340"/>
        </w:trPr>
        <w:tc>
          <w:tcPr>
            <w:tcW w:w="670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686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Елисеев, О. П. </w:t>
            </w:r>
            <w:r w:rsidRPr="00C766B7">
              <w:rPr>
                <w:rFonts w:ascii="Times New Roman" w:hAnsi="Times New Roman" w:cs="Times New Roman"/>
                <w:sz w:val="24"/>
                <w:szCs w:val="24"/>
              </w:rPr>
              <w:t>Гештальт-психология личности : учебник для бакалавриата и магистратуры / О. П. Елисеев. — 2-е изд., пер. и доп. — М. : Издательство Юрайт, 2018. — 289 с. — (Серия : Авторский учебник). — ISBN 978-5-534-06540-4.</w:t>
            </w:r>
          </w:p>
        </w:tc>
        <w:tc>
          <w:tcPr>
            <w:tcW w:w="1984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49" w:type="dxa"/>
            <w:vAlign w:val="center"/>
          </w:tcPr>
          <w:p w:rsidR="00936F08" w:rsidRDefault="00F70931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https://urait.ru/catalog/411963</w:t>
              </w:r>
            </w:hyperlink>
          </w:p>
          <w:p w:rsidR="00C766B7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686"/>
        <w:gridCol w:w="1984"/>
        <w:gridCol w:w="1949"/>
      </w:tblGrid>
      <w:tr w:rsidR="004B3B8A" w:rsidRPr="00C766B7" w:rsidTr="00E85AA3">
        <w:trPr>
          <w:trHeight w:val="828"/>
        </w:trPr>
        <w:tc>
          <w:tcPr>
            <w:tcW w:w="670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49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766B7" w:rsidTr="00E85AA3">
        <w:trPr>
          <w:trHeight w:val="340"/>
        </w:trPr>
        <w:tc>
          <w:tcPr>
            <w:tcW w:w="670" w:type="dxa"/>
            <w:vAlign w:val="center"/>
          </w:tcPr>
          <w:p w:rsidR="001451CF" w:rsidRPr="00C766B7" w:rsidRDefault="001451CF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86" w:type="dxa"/>
            <w:vAlign w:val="center"/>
          </w:tcPr>
          <w:p w:rsidR="004B3B8A" w:rsidRPr="00C766B7" w:rsidRDefault="00102919" w:rsidP="00C76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C7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Психотерапия : учебник и практикум для бакалавриата, специалитета и </w:t>
            </w:r>
            <w:r w:rsidRPr="00C7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магистратуры / Е. Т. Соколова. — 5-е изд., испр. и доп. — М. : Издательство Юрайт, 2018. — 359 с. — (Серия : Бакалавр. Специалист. Магистр). — ISBN 978-5-534-05416-3</w:t>
            </w:r>
          </w:p>
        </w:tc>
        <w:tc>
          <w:tcPr>
            <w:tcW w:w="1984" w:type="dxa"/>
            <w:vAlign w:val="center"/>
          </w:tcPr>
          <w:p w:rsidR="001451CF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1949" w:type="dxa"/>
            <w:vAlign w:val="center"/>
          </w:tcPr>
          <w:p w:rsidR="00102919" w:rsidRDefault="00F70931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https://biblio-online.ru/book/psihoterapiya-</w:t>
              </w:r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409494</w:t>
              </w:r>
            </w:hyperlink>
          </w:p>
          <w:p w:rsidR="00C766B7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E85AA3" w:rsidRPr="00E80460" w:rsidTr="00616877"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E85AA3" w:rsidRPr="00E80460" w:rsidTr="00616877">
        <w:trPr>
          <w:trHeight w:val="345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E85AA3" w:rsidRPr="00E80460" w:rsidTr="00616877">
        <w:trPr>
          <w:trHeight w:val="525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E85AA3" w:rsidRPr="00E80460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85AA3" w:rsidRPr="00E95FFF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E85AA3" w:rsidRPr="00E95FFF" w:rsidRDefault="00E85AA3" w:rsidP="00E8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E85AA3" w:rsidRPr="004930B8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E85AA3" w:rsidRPr="004930B8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E85AA3" w:rsidRPr="004930B8" w:rsidRDefault="00F70931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E85AA3" w:rsidRPr="004930B8" w:rsidRDefault="00F70931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85AA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E85AA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E85AA3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E85AA3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C766B7" w:rsidRPr="007D14CB" w:rsidRDefault="00C766B7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361316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361316" w:rsidRPr="009064F9" w:rsidTr="002D7F0D">
        <w:trPr>
          <w:trHeight w:val="440"/>
        </w:trPr>
        <w:tc>
          <w:tcPr>
            <w:tcW w:w="252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телевизор, компьютер, принтер, кондиционер, стол журнальный, тумба для телевизора,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361316" w:rsidRPr="009064F9" w:rsidRDefault="00361316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Premium Electronic Software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61316" w:rsidRPr="009064F9" w:rsidTr="002D7F0D">
        <w:trPr>
          <w:trHeight w:val="240"/>
        </w:trPr>
        <w:tc>
          <w:tcPr>
            <w:tcW w:w="252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361316" w:rsidRPr="009064F9" w:rsidRDefault="00361316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61316" w:rsidRPr="009064F9" w:rsidTr="002D7F0D">
        <w:trPr>
          <w:trHeight w:val="240"/>
        </w:trPr>
        <w:tc>
          <w:tcPr>
            <w:tcW w:w="252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361316" w:rsidRPr="009064F9" w:rsidRDefault="00361316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316" w:rsidRPr="009064F9" w:rsidTr="002D7F0D">
        <w:trPr>
          <w:trHeight w:val="240"/>
        </w:trPr>
        <w:tc>
          <w:tcPr>
            <w:tcW w:w="252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361316" w:rsidRPr="009064F9" w:rsidRDefault="0036131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2CF6" w:rsidRPr="00212CF6" w:rsidRDefault="00212CF6" w:rsidP="00212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E8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212CF6" w:rsidRPr="00212CF6" w:rsidRDefault="00212CF6" w:rsidP="00212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электронные лупы, видеоувеличители;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E85AA3" w:rsidRDefault="00E85AA3" w:rsidP="008B2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1A" w:rsidRPr="008B261A" w:rsidRDefault="00E85AA3" w:rsidP="008B2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B261A" w:rsidRPr="008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8B261A" w:rsidRPr="008B261A" w:rsidRDefault="008B261A" w:rsidP="008B26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1A" w:rsidRPr="008B261A" w:rsidRDefault="008B261A" w:rsidP="00E85A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B261A" w:rsidRPr="008B261A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</w:t>
      </w:r>
      <w:r w:rsidR="00190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94767" w:rsidTr="009B78F7">
        <w:trPr>
          <w:trHeight w:val="1134"/>
        </w:trPr>
        <w:tc>
          <w:tcPr>
            <w:tcW w:w="562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39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94767" w:rsidRPr="009B78F7" w:rsidRDefault="0039476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48260</wp:posOffset>
                  </wp:positionV>
                  <wp:extent cx="1136650" cy="534035"/>
                  <wp:effectExtent l="0" t="0" r="6350" b="0"/>
                  <wp:wrapNone/>
                  <wp:docPr id="3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24D" w:rsidTr="009B78F7">
        <w:trPr>
          <w:trHeight w:val="1134"/>
        </w:trPr>
        <w:tc>
          <w:tcPr>
            <w:tcW w:w="562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23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3524D" w:rsidRPr="009B78F7" w:rsidRDefault="0023524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-144780</wp:posOffset>
                  </wp:positionV>
                  <wp:extent cx="1136650" cy="534035"/>
                  <wp:effectExtent l="0" t="0" r="0" b="0"/>
                  <wp:wrapNone/>
                  <wp:docPr id="5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24D" w:rsidTr="009B78F7">
        <w:trPr>
          <w:trHeight w:val="1134"/>
        </w:trPr>
        <w:tc>
          <w:tcPr>
            <w:tcW w:w="562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23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3524D" w:rsidRPr="009B78F7" w:rsidRDefault="0023524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-144780</wp:posOffset>
                  </wp:positionV>
                  <wp:extent cx="1136650" cy="534035"/>
                  <wp:effectExtent l="0" t="0" r="0" b="0"/>
                  <wp:wrapNone/>
                  <wp:docPr id="7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8C" w:rsidRDefault="0019378C">
      <w:pPr>
        <w:spacing w:after="0" w:line="240" w:lineRule="auto"/>
      </w:pPr>
      <w:r>
        <w:separator/>
      </w:r>
    </w:p>
  </w:endnote>
  <w:endnote w:type="continuationSeparator" w:id="0">
    <w:p w:rsidR="0019378C" w:rsidRDefault="0019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8C" w:rsidRDefault="0019378C">
      <w:pPr>
        <w:spacing w:after="0" w:line="240" w:lineRule="auto"/>
      </w:pPr>
      <w:r>
        <w:separator/>
      </w:r>
    </w:p>
  </w:footnote>
  <w:footnote w:type="continuationSeparator" w:id="0">
    <w:p w:rsidR="0019378C" w:rsidRDefault="0019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4" w:rsidRDefault="00F70931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AF4" w:rsidRDefault="008B3AF4">
    <w:pPr>
      <w:pStyle w:val="a3"/>
    </w:pPr>
  </w:p>
  <w:p w:rsidR="008B3AF4" w:rsidRDefault="008B3A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4" w:rsidRDefault="00F70931" w:rsidP="004B3B8A">
    <w:pPr>
      <w:pStyle w:val="a3"/>
      <w:jc w:val="center"/>
    </w:pPr>
    <w:r>
      <w:fldChar w:fldCharType="begin"/>
    </w:r>
    <w:r w:rsidR="00076D8F">
      <w:instrText>PAGE   \* MERGEFORMAT</w:instrText>
    </w:r>
    <w:r>
      <w:fldChar w:fldCharType="separate"/>
    </w:r>
    <w:r w:rsidR="0003158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31583"/>
    <w:rsid w:val="000408C4"/>
    <w:rsid w:val="00044818"/>
    <w:rsid w:val="000702DE"/>
    <w:rsid w:val="00073F77"/>
    <w:rsid w:val="00076D8F"/>
    <w:rsid w:val="00086817"/>
    <w:rsid w:val="00090FF8"/>
    <w:rsid w:val="000A15B1"/>
    <w:rsid w:val="000F1BDC"/>
    <w:rsid w:val="00102919"/>
    <w:rsid w:val="001203B1"/>
    <w:rsid w:val="001451CF"/>
    <w:rsid w:val="00180B23"/>
    <w:rsid w:val="001901C3"/>
    <w:rsid w:val="0019378C"/>
    <w:rsid w:val="001A3963"/>
    <w:rsid w:val="001A58CB"/>
    <w:rsid w:val="001C7777"/>
    <w:rsid w:val="001E1D8B"/>
    <w:rsid w:val="00212CF6"/>
    <w:rsid w:val="00213C5C"/>
    <w:rsid w:val="0023524D"/>
    <w:rsid w:val="00272515"/>
    <w:rsid w:val="003501B4"/>
    <w:rsid w:val="00361316"/>
    <w:rsid w:val="0037597A"/>
    <w:rsid w:val="003828B8"/>
    <w:rsid w:val="00394767"/>
    <w:rsid w:val="003B4F44"/>
    <w:rsid w:val="003C39ED"/>
    <w:rsid w:val="003F4ADA"/>
    <w:rsid w:val="004B3B8A"/>
    <w:rsid w:val="004C0280"/>
    <w:rsid w:val="004F3446"/>
    <w:rsid w:val="005069E2"/>
    <w:rsid w:val="0051758C"/>
    <w:rsid w:val="00551B8A"/>
    <w:rsid w:val="005A6F3D"/>
    <w:rsid w:val="00606181"/>
    <w:rsid w:val="00611CAA"/>
    <w:rsid w:val="00637062"/>
    <w:rsid w:val="006548E5"/>
    <w:rsid w:val="00690CEC"/>
    <w:rsid w:val="00695F59"/>
    <w:rsid w:val="006A21AA"/>
    <w:rsid w:val="006D2F59"/>
    <w:rsid w:val="00704B68"/>
    <w:rsid w:val="00760155"/>
    <w:rsid w:val="00774550"/>
    <w:rsid w:val="007C270C"/>
    <w:rsid w:val="007D14CB"/>
    <w:rsid w:val="007F42FC"/>
    <w:rsid w:val="008744CD"/>
    <w:rsid w:val="008A43A3"/>
    <w:rsid w:val="008B261A"/>
    <w:rsid w:val="008B3AF4"/>
    <w:rsid w:val="008D4D6D"/>
    <w:rsid w:val="008F0659"/>
    <w:rsid w:val="00936F08"/>
    <w:rsid w:val="009551E7"/>
    <w:rsid w:val="00962E8D"/>
    <w:rsid w:val="0096643E"/>
    <w:rsid w:val="00971F1F"/>
    <w:rsid w:val="009B78F7"/>
    <w:rsid w:val="009C10B8"/>
    <w:rsid w:val="009C194B"/>
    <w:rsid w:val="009F7308"/>
    <w:rsid w:val="00A657CC"/>
    <w:rsid w:val="00A818A4"/>
    <w:rsid w:val="00B571A2"/>
    <w:rsid w:val="00B932D4"/>
    <w:rsid w:val="00BB48DA"/>
    <w:rsid w:val="00BF0C6E"/>
    <w:rsid w:val="00C104F5"/>
    <w:rsid w:val="00C10B79"/>
    <w:rsid w:val="00C244E5"/>
    <w:rsid w:val="00C34FEA"/>
    <w:rsid w:val="00C766B7"/>
    <w:rsid w:val="00C81A3B"/>
    <w:rsid w:val="00D12B56"/>
    <w:rsid w:val="00D761A5"/>
    <w:rsid w:val="00E17ABE"/>
    <w:rsid w:val="00E44D81"/>
    <w:rsid w:val="00E65392"/>
    <w:rsid w:val="00E674CC"/>
    <w:rsid w:val="00E85AA3"/>
    <w:rsid w:val="00EF6B12"/>
    <w:rsid w:val="00F358CA"/>
    <w:rsid w:val="00F70931"/>
    <w:rsid w:val="00F9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66B7"/>
    <w:rPr>
      <w:color w:val="0563C1" w:themeColor="hyperlink"/>
      <w:u w:val="single"/>
    </w:rPr>
  </w:style>
  <w:style w:type="paragraph" w:customStyle="1" w:styleId="Default">
    <w:name w:val="Default"/>
    <w:rsid w:val="00C7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psihoterapiya-409494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196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7117</Words>
  <Characters>40569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2019-09-25T07:39:00Z</cp:lastPrinted>
  <dcterms:created xsi:type="dcterms:W3CDTF">2018-11-01T13:04:00Z</dcterms:created>
  <dcterms:modified xsi:type="dcterms:W3CDTF">2019-11-19T17:14:00Z</dcterms:modified>
</cp:coreProperties>
</file>